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Hlk6303548"/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019</w:t>
      </w:r>
      <w:r>
        <w:rPr>
          <w:rFonts w:hint="eastAsia"/>
          <w:b/>
          <w:bCs/>
          <w:sz w:val="28"/>
          <w:szCs w:val="28"/>
        </w:rPr>
        <w:t>年中国砂石行业绿色发展峰会</w:t>
      </w:r>
      <w:r>
        <w:rPr>
          <w:b/>
          <w:bCs/>
          <w:sz w:val="28"/>
          <w:szCs w:val="28"/>
        </w:rPr>
        <w:t>回执</w:t>
      </w:r>
    </w:p>
    <w:tbl>
      <w:tblPr>
        <w:tblStyle w:val="3"/>
        <w:tblpPr w:leftFromText="180" w:rightFromText="180" w:vertAnchor="text" w:horzAnchor="margin" w:tblpY="146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25"/>
        <w:gridCol w:w="222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  位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 机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64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64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64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64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64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参观企业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是□   否□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线路一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线路二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预定房间（数量及日期）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是□   否□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如</w:t>
            </w: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月2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-</w:t>
            </w:r>
            <w:r>
              <w:rPr>
                <w:rFonts w:ascii="宋体" w:hAnsi="宋体" w:eastAsia="宋体"/>
                <w:sz w:val="24"/>
              </w:rPr>
              <w:t>22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单间1标间2天；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或</w:t>
            </w: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月2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-</w:t>
            </w:r>
            <w:r>
              <w:rPr>
                <w:rFonts w:ascii="宋体" w:hAnsi="宋体" w:eastAsia="宋体"/>
                <w:sz w:val="24"/>
              </w:rPr>
              <w:t>21</w:t>
            </w:r>
            <w:r>
              <w:rPr>
                <w:rFonts w:hint="eastAsia" w:ascii="宋体" w:hAnsi="宋体" w:eastAsia="宋体"/>
                <w:sz w:val="24"/>
              </w:rPr>
              <w:t>日，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单</w:t>
            </w: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晚，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标间</w:t>
            </w:r>
            <w:r>
              <w:rPr>
                <w:rFonts w:ascii="宋体" w:hAnsi="宋体" w:eastAsia="宋体"/>
                <w:sz w:val="24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晚；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希望沟通交流的问题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4" w:type="dxa"/>
            <w:vAlign w:val="center"/>
          </w:tcPr>
          <w:p>
            <w:pPr>
              <w:spacing w:line="360" w:lineRule="auto"/>
              <w:ind w:left="3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6645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24"/>
          <w:szCs w:val="24"/>
        </w:rPr>
      </w:pPr>
      <w:bookmarkStart w:id="1" w:name="_GoBack"/>
      <w:bookmarkEnd w:id="1"/>
    </w:p>
    <w:p>
      <w:r>
        <w:rPr>
          <w:rFonts w:hint="eastAsia" w:ascii="宋体" w:hAnsi="宋体" w:eastAsia="宋体"/>
          <w:b/>
          <w:bCs/>
          <w:sz w:val="24"/>
          <w:szCs w:val="24"/>
        </w:rPr>
        <w:t>备注</w:t>
      </w:r>
      <w:r>
        <w:rPr>
          <w:rFonts w:ascii="宋体" w:hAnsi="宋体" w:eastAsia="宋体"/>
          <w:bCs/>
          <w:sz w:val="24"/>
          <w:szCs w:val="24"/>
        </w:rPr>
        <w:t>：请</w:t>
      </w:r>
      <w:r>
        <w:rPr>
          <w:rFonts w:hint="eastAsia" w:ascii="宋体" w:hAnsi="宋体" w:eastAsia="宋体"/>
          <w:bCs/>
          <w:sz w:val="24"/>
          <w:szCs w:val="24"/>
        </w:rPr>
        <w:t>参会代表于</w:t>
      </w:r>
      <w:r>
        <w:rPr>
          <w:rFonts w:ascii="宋体" w:hAnsi="宋体" w:eastAsia="宋体"/>
          <w:bCs/>
          <w:sz w:val="24"/>
          <w:szCs w:val="24"/>
        </w:rPr>
        <w:t>11</w:t>
      </w:r>
      <w:r>
        <w:rPr>
          <w:rFonts w:hint="eastAsia" w:ascii="宋体" w:hAnsi="宋体" w:eastAsia="宋体"/>
          <w:bCs/>
          <w:sz w:val="24"/>
          <w:szCs w:val="24"/>
        </w:rPr>
        <w:t>月</w:t>
      </w:r>
      <w:r>
        <w:rPr>
          <w:rFonts w:ascii="宋体" w:hAnsi="宋体" w:eastAsia="宋体"/>
          <w:bCs/>
          <w:sz w:val="24"/>
          <w:szCs w:val="24"/>
        </w:rPr>
        <w:t>15</w:t>
      </w:r>
      <w:r>
        <w:rPr>
          <w:rFonts w:hint="eastAsia" w:ascii="宋体" w:hAnsi="宋体" w:eastAsia="宋体"/>
          <w:bCs/>
          <w:sz w:val="24"/>
          <w:szCs w:val="24"/>
        </w:rPr>
        <w:t>日前，将回执发送至邮箱：</w:t>
      </w:r>
      <w:r>
        <w:fldChar w:fldCharType="begin"/>
      </w:r>
      <w:r>
        <w:instrText xml:space="preserve"> HYPERLINK "mailto:cssglw@163.com" </w:instrText>
      </w:r>
      <w:r>
        <w:fldChar w:fldCharType="separate"/>
      </w:r>
      <w:r>
        <w:rPr>
          <w:rFonts w:hint="eastAsia" w:ascii="宋体" w:hAnsi="宋体" w:eastAsia="宋体"/>
          <w:sz w:val="24"/>
          <w:szCs w:val="24"/>
        </w:rPr>
        <w:t>cssglw@163.com</w:t>
      </w:r>
      <w:r>
        <w:rPr>
          <w:rFonts w:hint="eastAsia"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bCs/>
          <w:sz w:val="24"/>
          <w:szCs w:val="24"/>
        </w:rPr>
        <w:t>，以便统一安排。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79C9"/>
    <w:rsid w:val="25014CA5"/>
    <w:rsid w:val="3F0B170D"/>
    <w:rsid w:val="4DFA06CA"/>
    <w:rsid w:val="503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2019-10-28T07:52:48Z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